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0" w:firstLineChars="200"/>
        <w:jc w:val="center"/>
        <w:rPr>
          <w:rFonts w:hint="eastAsia" w:ascii="黑体" w:hAnsi="黑体" w:eastAsia="黑体" w:cs="黑体"/>
          <w:sz w:val="32"/>
          <w:szCs w:val="24"/>
        </w:rPr>
      </w:pPr>
      <w:r>
        <w:rPr>
          <w:rFonts w:hint="eastAsia" w:ascii="黑体" w:hAnsi="黑体" w:eastAsia="黑体" w:cs="黑体"/>
          <w:sz w:val="32"/>
          <w:szCs w:val="24"/>
        </w:rPr>
        <w:t>南京大学艺术学院</w:t>
      </w:r>
      <w:r>
        <w:rPr>
          <w:rFonts w:hint="eastAsia" w:ascii="黑体" w:hAnsi="黑体" w:eastAsia="黑体" w:cs="黑体"/>
          <w:sz w:val="32"/>
          <w:szCs w:val="24"/>
          <w:lang w:eastAsia="zh-CN"/>
        </w:rPr>
        <w:t>研究生</w:t>
      </w:r>
      <w:r>
        <w:rPr>
          <w:rFonts w:hint="eastAsia" w:ascii="黑体" w:hAnsi="黑体" w:eastAsia="黑体" w:cs="黑体"/>
          <w:sz w:val="32"/>
          <w:szCs w:val="24"/>
        </w:rPr>
        <w:t>奖学金评审办法</w:t>
      </w:r>
    </w:p>
    <w:p>
      <w:pPr>
        <w:spacing w:line="360" w:lineRule="auto"/>
        <w:ind w:firstLine="440" w:firstLineChars="200"/>
        <w:jc w:val="center"/>
        <w:rPr>
          <w:rFonts w:hint="eastAsia" w:ascii="黑体" w:hAnsi="黑体" w:eastAsia="黑体" w:cs="黑体"/>
          <w:sz w:val="22"/>
          <w:szCs w:val="20"/>
          <w:lang w:eastAsia="zh-Hans"/>
        </w:rPr>
      </w:pPr>
      <w:r>
        <w:rPr>
          <w:rFonts w:hint="eastAsia" w:ascii="黑体" w:hAnsi="黑体" w:eastAsia="黑体" w:cs="黑体"/>
          <w:sz w:val="22"/>
          <w:szCs w:val="20"/>
          <w:lang w:eastAsia="zh-Hans"/>
        </w:rPr>
        <w:t>（</w:t>
      </w:r>
      <w:r>
        <w:rPr>
          <w:rFonts w:hint="default" w:ascii="黑体" w:hAnsi="黑体" w:eastAsia="黑体" w:cs="黑体"/>
          <w:sz w:val="22"/>
          <w:szCs w:val="20"/>
          <w:lang w:eastAsia="zh-Hans"/>
        </w:rPr>
        <w:t>2021</w:t>
      </w:r>
      <w:r>
        <w:rPr>
          <w:rFonts w:hint="eastAsia" w:ascii="黑体" w:hAnsi="黑体" w:eastAsia="黑体" w:cs="黑体"/>
          <w:sz w:val="22"/>
          <w:szCs w:val="20"/>
          <w:lang w:val="en-US" w:eastAsia="zh-Hans"/>
        </w:rPr>
        <w:t>年修订）</w:t>
      </w:r>
    </w:p>
    <w:p>
      <w:pPr>
        <w:spacing w:line="360" w:lineRule="auto"/>
        <w:rPr>
          <w:rFonts w:asciiTheme="minorEastAsia" w:hAnsiTheme="minorEastAsia"/>
          <w:sz w:val="24"/>
          <w:szCs w:val="24"/>
        </w:rPr>
      </w:pPr>
    </w:p>
    <w:p>
      <w:pPr>
        <w:spacing w:line="360" w:lineRule="auto"/>
        <w:ind w:firstLine="560" w:firstLineChars="200"/>
        <w:rPr>
          <w:rFonts w:hint="eastAsia" w:asciiTheme="minorEastAsia" w:hAnsiTheme="minorEastAsia"/>
          <w:sz w:val="24"/>
          <w:szCs w:val="24"/>
          <w:lang w:eastAsia="zh-CN"/>
        </w:rPr>
      </w:pPr>
      <w:r>
        <w:rPr>
          <w:rFonts w:hint="eastAsia" w:ascii="仿宋" w:hAnsi="仿宋" w:eastAsia="仿宋" w:cs="仿宋"/>
          <w:sz w:val="28"/>
          <w:szCs w:val="28"/>
          <w:lang w:eastAsia="zh-CN"/>
        </w:rPr>
        <w:t>为落实立德树人根本任务，</w:t>
      </w:r>
      <w:r>
        <w:rPr>
          <w:rFonts w:hint="eastAsia" w:ascii="仿宋" w:hAnsi="仿宋" w:eastAsia="仿宋" w:cs="仿宋"/>
          <w:sz w:val="28"/>
          <w:szCs w:val="28"/>
          <w:lang w:val="en-US" w:eastAsia="zh-Hans"/>
        </w:rPr>
        <w:t>进一步提升研究生培养质量，鼓励研究生在学期间勤奋学习、刻苦钻研、锐意创新，坚持德智体美劳全面发展，并</w:t>
      </w:r>
      <w:r>
        <w:rPr>
          <w:rFonts w:hint="eastAsia" w:ascii="仿宋" w:hAnsi="仿宋" w:eastAsia="仿宋" w:cs="仿宋"/>
          <w:sz w:val="28"/>
          <w:szCs w:val="28"/>
          <w:lang w:eastAsia="zh-CN"/>
        </w:rPr>
        <w:t>在公开、公正、公平、择优的原则下保障奖学金评选工作规范、有序进行，依据国家和南京大学奖学金评审相关规定，结合我院实际，制定本办法。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一、评审对象</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具有南京大学学籍且纳入全国研究生招生计划的全日制研究生均可申请。</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国家奖学金的评审对象参照《南京大学研究生国家奖学金评审办法》执行。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二、申报条件</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申报奖学金的研究生必须具备以下基本条件：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1.热爱祖国，热爱人民，拥护中国共产党；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2.遵守法律，遵守学校规章制度；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3.诚实守信，道德品质优良，尊敬师长，团结同学；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4.学习成绩优秀，具有较强的科研能力，综合表现突出；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5.积极参加学术科技及课外文体活动，积极参与社会活动，热心集体工作。</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有下列情况之一者不具备当年奖学金参评资格：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1.保留入学资格、休学或终止学籍；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2.参评当年因违反校纪校规受到各类纪律处分；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3.在校期间受过违纪处分且尚未解除；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4.参评当年有抄袭剽窃、弄虚作假等学术不端行为且经查证属实。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三、评审程序</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成立艺术学院奖学金评审委员会，由单位主管领导任主任委员，研究生导师、学生工作办公室主任、研究生管理人员、研究生代表任委员。负责制定艺术学院研究生奖学金评选的实施细则、组织申请、初步评审等工作。</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2.学院根据学校通知进行奖学金布置，向全体具有申请资格的研究生公布评审条件、程序和日程，组织学生申请。</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3.艺术学院奖学金评审委员会结合奖学金评审办法及各类奖学金的要求进行评选。评审内容包括两个部分：申请材料量化审核，满分100分；综合面试审核，满分50分。</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（1）申请材料量化审核包括，政治思想及日常行为表现（15分）、学习成绩（25分）、科研创作情况（60分）；（详见附录）</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（2）综合面试审核，由奖学金评审委员会组织奖学金答辩会，根据个人陈述和答辩情况，综合打分，以每人平均分计入最终分数（50分）。</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4.确定初评名单后至少公示5个工作日，无异议后报送学校。</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四、奖励办法</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奖学金评审工作结束并确定各类奖学金获奖名单后，由学校发文予以表彰，并向获奖研究生颁发荣誉证书和奖学金。</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五、附则</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本办法由艺术学院奖学金评审委员会负责解释。</w:t>
      </w:r>
    </w:p>
    <w:p>
      <w:pPr>
        <w:numPr>
          <w:ilvl w:val="0"/>
          <w:numId w:val="0"/>
        </w:numPr>
        <w:spacing w:line="360" w:lineRule="auto"/>
        <w:rPr>
          <w:rFonts w:hint="eastAsia" w:ascii="仿宋" w:hAnsi="仿宋" w:eastAsia="仿宋" w:cs="仿宋"/>
          <w:sz w:val="28"/>
          <w:szCs w:val="28"/>
          <w:lang w:val="en-US" w:eastAsia="zh-CN"/>
        </w:rPr>
      </w:pPr>
    </w:p>
    <w:p>
      <w:pPr>
        <w:spacing w:line="360" w:lineRule="auto"/>
        <w:ind w:firstLine="560" w:firstLineChars="200"/>
        <w:jc w:val="right"/>
        <w:rPr>
          <w:rFonts w:hint="eastAsia" w:ascii="仿宋" w:hAnsi="仿宋" w:eastAsia="仿宋" w:cs="仿宋"/>
          <w:sz w:val="28"/>
          <w:szCs w:val="28"/>
          <w:lang w:val="en-US" w:eastAsia="zh-CN"/>
        </w:rPr>
      </w:pPr>
    </w:p>
    <w:p>
      <w:pPr>
        <w:spacing w:line="360" w:lineRule="auto"/>
        <w:ind w:firstLine="560" w:firstLineChars="200"/>
        <w:jc w:val="righ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艺术学院</w:t>
      </w:r>
    </w:p>
    <w:p>
      <w:pPr>
        <w:spacing w:line="360" w:lineRule="auto"/>
        <w:jc w:val="righ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2021年9月6日</w:t>
      </w:r>
    </w:p>
    <w:p>
      <w:pPr>
        <w:spacing w:line="360" w:lineRule="auto"/>
        <w:ind w:firstLine="560" w:firstLineChars="200"/>
        <w:rPr>
          <w:rFonts w:hint="eastAsia" w:ascii="仿宋" w:hAnsi="仿宋" w:eastAsia="仿宋" w:cs="仿宋"/>
          <w:sz w:val="28"/>
          <w:szCs w:val="28"/>
          <w:lang w:eastAsia="zh-CN"/>
        </w:rPr>
      </w:pPr>
    </w:p>
    <w:p>
      <w:pPr>
        <w:spacing w:line="360" w:lineRule="auto"/>
        <w:ind w:firstLine="560" w:firstLineChars="200"/>
        <w:rPr>
          <w:rFonts w:hint="eastAsia" w:ascii="仿宋" w:hAnsi="仿宋" w:eastAsia="仿宋" w:cs="仿宋"/>
          <w:sz w:val="28"/>
          <w:szCs w:val="28"/>
          <w:lang w:eastAsia="zh-CN"/>
        </w:rPr>
      </w:pPr>
    </w:p>
    <w:p>
      <w:pPr>
        <w:rPr>
          <w:rFonts w:hint="eastAsia" w:asciiTheme="minorEastAsia" w:hAnsiTheme="minorEastAsia"/>
          <w:sz w:val="24"/>
          <w:szCs w:val="24"/>
          <w:lang w:eastAsia="zh-CN"/>
        </w:rPr>
      </w:pPr>
      <w:r>
        <w:rPr>
          <w:rFonts w:hint="eastAsia" w:asciiTheme="minorEastAsia" w:hAnsiTheme="minorEastAsia"/>
          <w:sz w:val="24"/>
          <w:szCs w:val="24"/>
          <w:lang w:eastAsia="zh-CN"/>
        </w:rPr>
        <w:br w:type="page"/>
      </w:r>
    </w:p>
    <w:p>
      <w:pPr>
        <w:spacing w:line="360" w:lineRule="auto"/>
        <w:rPr>
          <w:rFonts w:hint="eastAsia" w:asciiTheme="minorEastAsia" w:hAnsiTheme="minorEastAsia"/>
          <w:b/>
          <w:bCs/>
          <w:sz w:val="24"/>
          <w:szCs w:val="24"/>
          <w:lang w:eastAsia="zh-CN"/>
        </w:rPr>
      </w:pPr>
      <w:r>
        <w:rPr>
          <w:rFonts w:hint="eastAsia" w:asciiTheme="minorEastAsia" w:hAnsiTheme="minorEastAsia"/>
          <w:b/>
          <w:bCs/>
          <w:sz w:val="24"/>
          <w:szCs w:val="24"/>
          <w:lang w:eastAsia="zh-CN"/>
        </w:rPr>
        <w:t>附：南京大学艺术学院研究生奖学金评审量化审核标准</w:t>
      </w: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一、</w:t>
      </w:r>
      <w:r>
        <w:rPr>
          <w:rFonts w:hint="eastAsia" w:asciiTheme="minorEastAsia" w:hAnsiTheme="minorEastAsia"/>
          <w:b/>
          <w:sz w:val="24"/>
          <w:szCs w:val="24"/>
        </w:rPr>
        <w:t>政治思想及日常行为表现（15分）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1.研究生导师对学生品行的综合评价（5分）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导师综合以下几个方面对学生进行评价：①是否尊重老师、遵守纪律且能虚心听取并采纳老师所提出的意见，不断地完善自我；②学生思维是否严密、活跃，且有强烈的求知欲；③是否具有吃苦耐劳和创新精神；④是否诚实守信，表现出良好的道德品质；⑤是否具有良好的审美情趣，在德、智、体、美等各个方面全面发展；⑥是否有其它与研究生身份不符的行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2.研究生辅导员对学生品行的综合评价（5分）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辅导员综合以下几个方面对学生进行评价：①是否积极参加集体活动，是否有未经请假或请假未获准而擅自不参加文体活动，或者中途无故退出；②是否存在未请假或请假未获准而擅自旷课、迟到或早退、是否隐瞒缺课次数或以不当方式取得考试成绩；③是否有谩骂、造谣生事等不尊重老师、侮辱同学、干扰管理人员正常工作的行为；④是否有其它与研究生身份不符的行为。</w:t>
      </w:r>
      <w:r>
        <w:rPr>
          <w:rFonts w:asciiTheme="minorEastAsia" w:hAnsiTheme="minorEastAsia"/>
          <w:sz w:val="24"/>
          <w:szCs w:val="24"/>
        </w:rPr>
        <w:t xml:space="preserve">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3.学生干部和组织活动情况（5分）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担任学生干部且工作合格，包括但不限于研究生会主席团成员、部长，党支部支委，班长，2分。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代表学院参加学校组织的各类活动，每次加0.5分，获奖加0.5分。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积极组织学院及党团学组织的重大活动，由学生自行填写组织情况，学工办及党团学组织核对真实性并根据参与情况打分，每次不超过0.5分。</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二、</w:t>
      </w:r>
      <w:r>
        <w:rPr>
          <w:rFonts w:hint="eastAsia" w:asciiTheme="minorEastAsia" w:hAnsiTheme="minorEastAsia"/>
          <w:b/>
          <w:sz w:val="24"/>
          <w:szCs w:val="24"/>
        </w:rPr>
        <w:t>学习成绩（25分）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1、学习成绩分数计算方法：</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对于硕士研究生，将各科成绩和学分按百分制计算出加权平均分，然后再按满分25分折算出最终分, 分值按四舍五入保留2位小数。例如，某生5门课加权平均分85分，其学习成绩项目得分为85*0.25≈21.25分。</w:t>
      </w:r>
    </w:p>
    <w:p>
      <w:pPr>
        <w:spacing w:line="360" w:lineRule="auto"/>
        <w:ind w:firstLine="480" w:firstLineChars="200"/>
        <w:jc w:val="center"/>
        <w:rPr>
          <w:rFonts w:asciiTheme="minorEastAsia" w:hAnsiTheme="minorEastAsia"/>
          <w:sz w:val="24"/>
          <w:szCs w:val="24"/>
        </w:rPr>
      </w:pPr>
      <w:r>
        <w:rPr>
          <w:rFonts w:hint="eastAsia" w:asciiTheme="minorEastAsia" w:hAnsiTheme="minorEastAsia"/>
          <w:sz w:val="24"/>
          <w:szCs w:val="24"/>
        </w:rPr>
        <w:t xml:space="preserve">加权平均分 = </w:t>
      </w:r>
      <m:oMath>
        <m:f>
          <m:fPr>
            <m:ctrlPr>
              <w:rPr>
                <w:rFonts w:ascii="Cambria Math" w:hAnsi="Cambria Math"/>
                <w:i/>
                <w:sz w:val="24"/>
                <w:szCs w:val="24"/>
              </w:rPr>
            </m:ctrlPr>
          </m:fPr>
          <m:num>
            <m:r>
              <m:rPr>
                <m:sty m:val="p"/>
              </m:rPr>
              <w:rPr>
                <w:rFonts w:ascii="Cambria Math" w:hAnsi="Cambria Math"/>
                <w:sz w:val="24"/>
                <w:szCs w:val="24"/>
              </w:rPr>
              <m:t>Σ</m:t>
            </m:r>
            <m:r>
              <m:rPr/>
              <w:rPr>
                <w:rFonts w:ascii="Cambria Math" w:hAnsi="Cambria Math"/>
                <w:sz w:val="24"/>
                <w:szCs w:val="24"/>
              </w:rPr>
              <m:t>（课程考分×学分数）</m:t>
            </m:r>
            <m:ctrlPr>
              <w:rPr>
                <w:rFonts w:ascii="Cambria Math" w:hAnsi="Cambria Math"/>
                <w:i/>
                <w:sz w:val="24"/>
                <w:szCs w:val="24"/>
              </w:rPr>
            </m:ctrlPr>
          </m:num>
          <m:den>
            <m:r>
              <m:rPr>
                <m:sty m:val="p"/>
              </m:rPr>
              <w:rPr>
                <w:rFonts w:ascii="Cambria Math" w:hAnsi="Cambria Math"/>
                <w:sz w:val="24"/>
                <w:szCs w:val="24"/>
              </w:rPr>
              <m:t>Σ课程学分数</m:t>
            </m:r>
            <m:ctrlPr>
              <w:rPr>
                <w:rFonts w:ascii="Cambria Math" w:hAnsi="Cambria Math"/>
                <w:i/>
                <w:sz w:val="24"/>
                <w:szCs w:val="24"/>
              </w:rPr>
            </m:ctrlPr>
          </m:den>
        </m:f>
      </m:oMath>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对于博士研究生，将各科成绩按百分制计算平均分，然后再按满分25分折算出最终分, 分值按四舍五入保留2位小数。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参考《南京大学全日制本科生学分制管理办法》，免修课程按90分折算。</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hint="eastAsia" w:asciiTheme="minorEastAsia" w:hAnsiTheme="minorEastAsia"/>
          <w:sz w:val="24"/>
          <w:szCs w:val="24"/>
          <w:lang w:eastAsia="zh-CN"/>
        </w:rPr>
        <w:t>艺术文化学</w:t>
      </w:r>
      <w:r>
        <w:rPr>
          <w:rFonts w:hint="eastAsia" w:asciiTheme="minorEastAsia" w:hAnsiTheme="minorEastAsia"/>
          <w:sz w:val="24"/>
          <w:szCs w:val="24"/>
        </w:rPr>
        <w:t>方向硕士，须提供5门课成绩，其中B1类（艺术理论与美学、</w:t>
      </w:r>
      <w:r>
        <w:rPr>
          <w:rFonts w:hint="eastAsia" w:asciiTheme="minorEastAsia" w:hAnsiTheme="minorEastAsia"/>
          <w:sz w:val="24"/>
          <w:szCs w:val="24"/>
          <w:lang w:eastAsia="zh-CN"/>
        </w:rPr>
        <w:t>艺术文化学前沿问题</w:t>
      </w:r>
      <w:r>
        <w:rPr>
          <w:rFonts w:hint="eastAsia" w:asciiTheme="minorEastAsia" w:hAnsiTheme="minorEastAsia"/>
          <w:sz w:val="24"/>
          <w:szCs w:val="24"/>
        </w:rPr>
        <w:t>）2门，B2类（艺术史的理论与方法、艺术教育理论与方法、文化创意与文化产业）1门，由学院开设的其他B、C、D类课程任意2门。</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3、美术及美术学方向硕士，参见附录。</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4、博士研究生，须提供4门成绩，其中学院开设的博士生课程至少3门。</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5、在科研创作部分表现特别优秀的一年级学生此部分酌情打分，由奖学金评审委员会商讨而定。</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三、</w:t>
      </w:r>
      <w:r>
        <w:rPr>
          <w:rFonts w:hint="eastAsia" w:asciiTheme="minorEastAsia" w:hAnsiTheme="minorEastAsia"/>
          <w:b/>
          <w:sz w:val="24"/>
          <w:szCs w:val="24"/>
        </w:rPr>
        <w:t>科研创作情况（60分）</w:t>
      </w:r>
      <w:bookmarkStart w:id="0" w:name="_GoBack"/>
      <w:bookmarkEnd w:id="0"/>
    </w:p>
    <w:p>
      <w:pPr>
        <w:spacing w:line="360" w:lineRule="auto"/>
        <w:rPr>
          <w:rFonts w:asciiTheme="minorEastAsia" w:hAnsiTheme="minorEastAsia"/>
          <w:b/>
          <w:color w:val="auto"/>
          <w:sz w:val="24"/>
          <w:szCs w:val="24"/>
        </w:rPr>
      </w:pPr>
      <w:r>
        <w:rPr>
          <w:rFonts w:hint="eastAsia" w:asciiTheme="minorEastAsia" w:hAnsiTheme="minorEastAsia"/>
          <w:b/>
          <w:color w:val="auto"/>
          <w:sz w:val="24"/>
          <w:szCs w:val="24"/>
        </w:rPr>
        <w:t xml:space="preserve">A </w:t>
      </w:r>
      <w:r>
        <w:rPr>
          <w:rFonts w:hint="eastAsia" w:asciiTheme="minorEastAsia" w:hAnsiTheme="minorEastAsia"/>
          <w:b/>
          <w:color w:val="auto"/>
          <w:sz w:val="24"/>
          <w:szCs w:val="24"/>
          <w:lang w:val="en-US" w:eastAsia="zh-CN"/>
        </w:rPr>
        <w:t>艺术文化学专业</w:t>
      </w:r>
      <w:r>
        <w:rPr>
          <w:rFonts w:hint="eastAsia" w:asciiTheme="minorEastAsia" w:hAnsiTheme="minorEastAsia"/>
          <w:b/>
          <w:color w:val="auto"/>
          <w:sz w:val="24"/>
          <w:szCs w:val="24"/>
          <w:lang w:eastAsia="zh-CN"/>
        </w:rPr>
        <w:t>及美术学专业美术理论研究</w:t>
      </w:r>
      <w:r>
        <w:rPr>
          <w:rFonts w:hint="eastAsia" w:asciiTheme="minorEastAsia" w:hAnsiTheme="minorEastAsia"/>
          <w:b/>
          <w:color w:val="auto"/>
          <w:sz w:val="24"/>
          <w:szCs w:val="24"/>
          <w:lang w:val="en-US" w:eastAsia="zh-CN"/>
        </w:rPr>
        <w:t>方向</w:t>
      </w:r>
      <w:r>
        <w:rPr>
          <w:rFonts w:hint="eastAsia" w:asciiTheme="minorEastAsia" w:hAnsiTheme="minorEastAsia"/>
          <w:b/>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考核可包括以下项目：学术论文、专著、译作、科研项目、竞赛、科研获奖、参加学术会议的论文等。此部分总分为100分，最终得分*0.6作为科研创作情况得分，其中学术论文60分，科研项目20分，创作与获奖20分。</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1. 学术论文（60%）</w:t>
      </w:r>
    </w:p>
    <w:p>
      <w:pPr>
        <w:spacing w:line="360" w:lineRule="auto"/>
        <w:ind w:firstLine="480" w:firstLineChars="200"/>
        <w:rPr>
          <w:rFonts w:hint="eastAsia" w:asciiTheme="minorEastAsia" w:hAnsiTheme="minorEastAsia"/>
          <w:color w:val="auto"/>
          <w:sz w:val="24"/>
          <w:szCs w:val="24"/>
        </w:rPr>
      </w:pPr>
      <w:r>
        <w:rPr>
          <w:rFonts w:hint="eastAsia" w:asciiTheme="minorEastAsia" w:hAnsiTheme="minorEastAsia"/>
          <w:color w:val="auto"/>
          <w:sz w:val="24"/>
          <w:szCs w:val="24"/>
          <w:lang w:eastAsia="zh-CN"/>
        </w:rPr>
        <w:t>提交</w:t>
      </w:r>
      <w:r>
        <w:rPr>
          <w:rFonts w:hint="eastAsia" w:asciiTheme="minorEastAsia" w:hAnsiTheme="minorEastAsia"/>
          <w:color w:val="auto"/>
          <w:sz w:val="24"/>
          <w:szCs w:val="24"/>
        </w:rPr>
        <w:t>在读期间</w:t>
      </w:r>
      <w:r>
        <w:rPr>
          <w:rFonts w:hint="eastAsia" w:asciiTheme="minorEastAsia" w:hAnsiTheme="minorEastAsia"/>
          <w:color w:val="auto"/>
          <w:sz w:val="24"/>
          <w:szCs w:val="24"/>
          <w:lang w:eastAsia="zh-CN"/>
        </w:rPr>
        <w:t>撰写的学术论文代表作</w:t>
      </w:r>
      <w:r>
        <w:rPr>
          <w:rFonts w:hint="eastAsia" w:asciiTheme="minorEastAsia" w:hAnsiTheme="minorEastAsia"/>
          <w:color w:val="auto"/>
          <w:sz w:val="24"/>
          <w:szCs w:val="24"/>
          <w:lang w:val="en-US" w:eastAsia="zh-CN"/>
        </w:rPr>
        <w:t>3篇</w:t>
      </w:r>
      <w:r>
        <w:rPr>
          <w:rFonts w:hint="eastAsia" w:asciiTheme="minorEastAsia" w:hAnsiTheme="minorEastAsia"/>
          <w:color w:val="auto"/>
          <w:sz w:val="24"/>
          <w:szCs w:val="24"/>
          <w:lang w:eastAsia="zh-CN"/>
        </w:rPr>
        <w:t>，由院学术委员会根据论文质量、贡献、影响进行评分。</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2．科研项目（20%）</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主持国家级科研课题，20分/项；主持省级科研课题，15分/项；主持校级科研课题，10分/项；参与其他各种科研课题，由项目负责人出具工作内容说明后，由奖学金评定委员会评定，所有参与项目累计总分不超过8分。参与学院或学校主办的展览策划工作，由展览负责人出具工作内容说明后，由奖学金评定委员会评定，所有参与展览累计总分不超过8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上述所有项目主持人所属单位需为南京大学。</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3．创作与获奖（20%）</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创作或论文获高水平国际级、国家级最高奖20分/项；获国家级、教育部最高奖18分/项；获省部级最高奖12分/项；获市级及本校最高奖6分/项（统计不超过2项）；获院级及其他最高奖2分/项（统计不超过3项）。</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同一成果重复获奖，以最高等级计算，不重复统计。以团队形式获奖，团队中个人按降级后等次加分（如团队获国家级最高奖，个人以省部级最高奖计分）。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获奖级别由奖学金评审委员会确定，有必要时可请专业教师协助认定。</w:t>
      </w:r>
    </w:p>
    <w:p>
      <w:pPr>
        <w:spacing w:line="360" w:lineRule="auto"/>
        <w:ind w:firstLine="480" w:firstLineChars="200"/>
        <w:rPr>
          <w:rFonts w:asciiTheme="minorEastAsia" w:hAnsiTheme="minorEastAsia"/>
          <w:color w:val="auto"/>
          <w:sz w:val="24"/>
          <w:szCs w:val="24"/>
        </w:rPr>
      </w:pPr>
    </w:p>
    <w:p>
      <w:pPr>
        <w:spacing w:line="360" w:lineRule="auto"/>
        <w:rPr>
          <w:rFonts w:hint="eastAsia" w:asciiTheme="minorEastAsia" w:hAnsiTheme="minorEastAsia"/>
          <w:b/>
          <w:color w:val="auto"/>
          <w:sz w:val="24"/>
          <w:szCs w:val="24"/>
        </w:rPr>
      </w:pPr>
      <w:r>
        <w:rPr>
          <w:rFonts w:hint="eastAsia" w:asciiTheme="minorEastAsia" w:hAnsiTheme="minorEastAsia"/>
          <w:b/>
          <w:color w:val="auto"/>
          <w:sz w:val="24"/>
          <w:szCs w:val="24"/>
        </w:rPr>
        <w:t>B 美术学</w:t>
      </w:r>
      <w:r>
        <w:rPr>
          <w:rFonts w:hint="eastAsia" w:asciiTheme="minorEastAsia" w:hAnsiTheme="minorEastAsia"/>
          <w:b/>
          <w:color w:val="auto"/>
          <w:sz w:val="24"/>
          <w:szCs w:val="24"/>
          <w:lang w:val="en-US" w:eastAsia="zh-CN"/>
        </w:rPr>
        <w:t>专业（不包括美术理论研究方向）</w:t>
      </w:r>
      <w:r>
        <w:rPr>
          <w:rFonts w:hint="eastAsia" w:asciiTheme="minorEastAsia" w:hAnsiTheme="minorEastAsia"/>
          <w:b/>
          <w:color w:val="auto"/>
          <w:sz w:val="24"/>
          <w:szCs w:val="24"/>
        </w:rPr>
        <w:t>。</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auto"/>
          <w:sz w:val="24"/>
          <w:szCs w:val="24"/>
        </w:rPr>
        <w:t>考核可包括以下项目：学术论文、专著、创作参展、论文或作品获奖等。此</w:t>
      </w:r>
      <w:r>
        <w:rPr>
          <w:rFonts w:hint="eastAsia" w:asciiTheme="minorEastAsia" w:hAnsiTheme="minorEastAsia"/>
          <w:color w:val="000000" w:themeColor="text1"/>
          <w:sz w:val="24"/>
          <w:szCs w:val="24"/>
          <w14:textFill>
            <w14:solidFill>
              <w14:schemeClr w14:val="tx1"/>
            </w14:solidFill>
          </w14:textFill>
        </w:rPr>
        <w:t>部分总分为100分，最终得分*0.6作为科研创作情况得分，其中学术论文40分，艺术创作40分，获奖情况20分。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1. 学术论文（40%）</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提交在读期间撰写的学术论文代表作</w:t>
      </w:r>
      <w:r>
        <w:rPr>
          <w:rFonts w:hint="eastAsia" w:asciiTheme="minorEastAsia" w:hAnsiTheme="minorEastAsia"/>
          <w:sz w:val="24"/>
          <w:szCs w:val="24"/>
          <w:lang w:val="en-US" w:eastAsia="zh-CN"/>
        </w:rPr>
        <w:t>3篇</w:t>
      </w:r>
      <w:r>
        <w:rPr>
          <w:rFonts w:hint="eastAsia" w:asciiTheme="minorEastAsia" w:hAnsiTheme="minorEastAsia"/>
          <w:sz w:val="24"/>
          <w:szCs w:val="24"/>
          <w:lang w:eastAsia="zh-CN"/>
        </w:rPr>
        <w:t>，由院学术委员会根据论文质量、贡献、影响进行评分。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2．创作与参展（40%）</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提交在读期间的艺术创作或设计方案</w:t>
      </w:r>
      <w:r>
        <w:rPr>
          <w:rFonts w:hint="eastAsia" w:asciiTheme="minorEastAsia" w:hAnsiTheme="minorEastAsia"/>
          <w:sz w:val="24"/>
          <w:szCs w:val="24"/>
          <w:lang w:val="en-US" w:eastAsia="zh-CN"/>
        </w:rPr>
        <w:t>3件（套）</w:t>
      </w:r>
      <w:r>
        <w:rPr>
          <w:rFonts w:hint="eastAsia" w:asciiTheme="minorEastAsia" w:hAnsiTheme="minorEastAsia"/>
          <w:sz w:val="24"/>
          <w:szCs w:val="24"/>
          <w:lang w:eastAsia="zh-CN"/>
        </w:rPr>
        <w:t>，由院学术委员会根据质量、贡献、影响进行评分。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3、获奖情况（20%）</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创作或论文获国家级奖项20分/项（一等20、二等18、三等16）；获省部级奖项10分/项（一等10、二等8、三等6，统计不超过3项）；获市级及本校奖项2分/项（统计不超过3项）；获其他奖项0.5分/项（统计不超过3项）。</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同一作品重复参展或重复获奖，以最高等级计算，不重复统计。以团队形式获奖，团队中个人按降级后等次加分（如团队获国家级最高奖，个人以省部级最高奖计分）。</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参展或获奖级别由奖学金评审委员会确定，有必要时可请专业教师协助认定。</w:t>
      </w:r>
    </w:p>
    <w:p>
      <w:pPr>
        <w:spacing w:line="360" w:lineRule="auto"/>
        <w:rPr>
          <w:rFonts w:hint="eastAsia" w:asciiTheme="minorEastAsia" w:hAnsiTheme="minorEastAsia"/>
          <w:b/>
          <w:color w:val="000000" w:themeColor="text1"/>
          <w:sz w:val="24"/>
          <w:szCs w:val="24"/>
          <w14:textFill>
            <w14:solidFill>
              <w14:schemeClr w14:val="tx1"/>
            </w14:solidFill>
          </w14:textFill>
        </w:rPr>
      </w:pPr>
    </w:p>
    <w:p>
      <w:pPr>
        <w:spacing w:line="360" w:lineRule="auto"/>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lang w:val="en-US" w:eastAsia="zh-CN"/>
          <w14:textFill>
            <w14:solidFill>
              <w14:schemeClr w14:val="tx1"/>
            </w14:solidFill>
          </w14:textFill>
        </w:rPr>
        <w:t>C</w:t>
      </w:r>
      <w:r>
        <w:rPr>
          <w:rFonts w:hint="eastAsia" w:asciiTheme="minorEastAsia" w:hAnsiTheme="minorEastAsia"/>
          <w:b/>
          <w:color w:val="000000" w:themeColor="text1"/>
          <w:sz w:val="24"/>
          <w:szCs w:val="24"/>
          <w14:textFill>
            <w14:solidFill>
              <w14:schemeClr w14:val="tx1"/>
            </w14:solidFill>
          </w14:textFill>
        </w:rPr>
        <w:t xml:space="preserve"> 美术</w:t>
      </w:r>
      <w:r>
        <w:rPr>
          <w:rFonts w:hint="eastAsia" w:asciiTheme="minorEastAsia" w:hAnsiTheme="minorEastAsia"/>
          <w:b/>
          <w:color w:val="000000" w:themeColor="text1"/>
          <w:sz w:val="24"/>
          <w:szCs w:val="24"/>
          <w:lang w:eastAsia="zh-CN"/>
          <w14:textFill>
            <w14:solidFill>
              <w14:schemeClr w14:val="tx1"/>
            </w14:solidFill>
          </w14:textFill>
        </w:rPr>
        <w:t>专业</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考核可包括以下项目：学术论文、专著、创作参展、论文或作品获奖等。此部分总分为100分，最终得分*0.6作为科研创作情况得分，其中学术论文</w:t>
      </w:r>
      <w:r>
        <w:rPr>
          <w:rFonts w:hint="eastAsia" w:asciiTheme="minorEastAsia" w:hAnsiTheme="minorEastAsia"/>
          <w:color w:val="000000" w:themeColor="text1"/>
          <w:sz w:val="24"/>
          <w:szCs w:val="24"/>
          <w:lang w:val="en-US" w:eastAsia="zh-CN"/>
          <w14:textFill>
            <w14:solidFill>
              <w14:schemeClr w14:val="tx1"/>
            </w14:solidFill>
          </w14:textFill>
        </w:rPr>
        <w:t>20</w:t>
      </w:r>
      <w:r>
        <w:rPr>
          <w:rFonts w:hint="eastAsia" w:asciiTheme="minorEastAsia" w:hAnsiTheme="minorEastAsia"/>
          <w:color w:val="000000" w:themeColor="text1"/>
          <w:sz w:val="24"/>
          <w:szCs w:val="24"/>
          <w14:textFill>
            <w14:solidFill>
              <w14:schemeClr w14:val="tx1"/>
            </w14:solidFill>
          </w14:textFill>
        </w:rPr>
        <w:t>分，艺术创作</w:t>
      </w:r>
      <w:r>
        <w:rPr>
          <w:rFonts w:hint="eastAsia" w:asciiTheme="minorEastAsia" w:hAnsiTheme="minorEastAsia"/>
          <w:color w:val="000000" w:themeColor="text1"/>
          <w:sz w:val="24"/>
          <w:szCs w:val="24"/>
          <w:lang w:val="en-US" w:eastAsia="zh-CN"/>
          <w14:textFill>
            <w14:solidFill>
              <w14:schemeClr w14:val="tx1"/>
            </w14:solidFill>
          </w14:textFill>
        </w:rPr>
        <w:t>60</w:t>
      </w:r>
      <w:r>
        <w:rPr>
          <w:rFonts w:hint="eastAsia" w:asciiTheme="minorEastAsia" w:hAnsiTheme="minorEastAsia"/>
          <w:color w:val="000000" w:themeColor="text1"/>
          <w:sz w:val="24"/>
          <w:szCs w:val="24"/>
          <w14:textFill>
            <w14:solidFill>
              <w14:schemeClr w14:val="tx1"/>
            </w14:solidFill>
          </w14:textFill>
        </w:rPr>
        <w:t>分，获奖情况20分。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1. 学术论文（</w:t>
      </w:r>
      <w:r>
        <w:rPr>
          <w:rFonts w:hint="eastAsia" w:asciiTheme="minorEastAsia" w:hAnsiTheme="minorEastAsia"/>
          <w:b/>
          <w:color w:val="000000" w:themeColor="text1"/>
          <w:sz w:val="24"/>
          <w:szCs w:val="24"/>
          <w:lang w:val="en-US" w:eastAsia="zh-CN"/>
          <w14:textFill>
            <w14:solidFill>
              <w14:schemeClr w14:val="tx1"/>
            </w14:solidFill>
          </w14:textFill>
        </w:rPr>
        <w:t>20</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提交在读期间撰写的学术论文代表作</w:t>
      </w:r>
      <w:r>
        <w:rPr>
          <w:rFonts w:hint="eastAsia" w:asciiTheme="minorEastAsia" w:hAnsiTheme="minorEastAsia"/>
          <w:sz w:val="24"/>
          <w:szCs w:val="24"/>
          <w:lang w:val="en-US" w:eastAsia="zh-CN"/>
        </w:rPr>
        <w:t>3篇</w:t>
      </w:r>
      <w:r>
        <w:rPr>
          <w:rFonts w:hint="eastAsia" w:asciiTheme="minorEastAsia" w:hAnsiTheme="minorEastAsia"/>
          <w:sz w:val="24"/>
          <w:szCs w:val="24"/>
          <w:lang w:eastAsia="zh-CN"/>
        </w:rPr>
        <w:t>，由院学术委员会根据论文质量、贡献、影响进行评分。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2．创作与参展（</w:t>
      </w:r>
      <w:r>
        <w:rPr>
          <w:rFonts w:hint="eastAsia" w:asciiTheme="minorEastAsia" w:hAnsiTheme="minorEastAsia"/>
          <w:b/>
          <w:color w:val="000000" w:themeColor="text1"/>
          <w:sz w:val="24"/>
          <w:szCs w:val="24"/>
          <w:lang w:val="en-US" w:eastAsia="zh-CN"/>
          <w14:textFill>
            <w14:solidFill>
              <w14:schemeClr w14:val="tx1"/>
            </w14:solidFill>
          </w14:textFill>
        </w:rPr>
        <w:t>60</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提交在读期间的艺术创作或设计方案</w:t>
      </w:r>
      <w:r>
        <w:rPr>
          <w:rFonts w:hint="eastAsia" w:asciiTheme="minorEastAsia" w:hAnsiTheme="minorEastAsia"/>
          <w:sz w:val="24"/>
          <w:szCs w:val="24"/>
          <w:lang w:val="en-US" w:eastAsia="zh-CN"/>
        </w:rPr>
        <w:t>3件（套）</w:t>
      </w:r>
      <w:r>
        <w:rPr>
          <w:rFonts w:hint="eastAsia" w:asciiTheme="minorEastAsia" w:hAnsiTheme="minorEastAsia"/>
          <w:sz w:val="24"/>
          <w:szCs w:val="24"/>
          <w:lang w:eastAsia="zh-CN"/>
        </w:rPr>
        <w:t>，由院学术委员会根据质量、贡献、影响进行评分。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3、获奖情况（20%）</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创作或论文获国家级奖项20分/项（一等20、二等18、三等16）；获省部级奖项10分/项（一等10、二等8、三等6，统计不超过3项）；获市级及本校奖项2分/项（统计不超过3项）；获其他奖项0.5分/项（统计不超过3项）。</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同一作品重复参展或重复获奖，以最高等级计算，不重复统计。以团队形式获奖，团队中个人按降级后等次加分（如团队获国家级最高奖，个人以省部级最高奖计分）。</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参展或获奖级别由奖学金评审委员会确定，有必要时可请专业教师协助认定。</w:t>
      </w:r>
    </w:p>
    <w:p>
      <w:pPr>
        <w:spacing w:line="360" w:lineRule="auto"/>
        <w:ind w:firstLine="480" w:firstLineChars="200"/>
        <w:rPr>
          <w:rFonts w:asciiTheme="minorEastAsia" w:hAnsiTheme="minorEastAsia"/>
          <w:sz w:val="24"/>
          <w:szCs w:val="24"/>
        </w:rPr>
      </w:pPr>
    </w:p>
    <w:p>
      <w:pPr>
        <w:wordWrap/>
        <w:spacing w:line="360" w:lineRule="auto"/>
        <w:ind w:firstLine="480" w:firstLineChars="200"/>
        <w:jc w:val="right"/>
        <w:rPr>
          <w:rFonts w:hint="eastAsia" w:asciiTheme="minorEastAsia" w:hAnsiTheme="minorEastAsia"/>
          <w:sz w:val="24"/>
          <w:szCs w:val="24"/>
        </w:rPr>
      </w:pPr>
      <w:r>
        <w:rPr>
          <w:rFonts w:hint="eastAsia" w:asciiTheme="minorEastAsia" w:hAnsiTheme="minorEastAsia"/>
          <w:sz w:val="24"/>
          <w:szCs w:val="24"/>
        </w:rPr>
        <w:t>艺术学院</w:t>
      </w:r>
    </w:p>
    <w:p>
      <w:pPr>
        <w:wordWrap/>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lang w:val="en-US" w:eastAsia="zh-CN"/>
        </w:rPr>
        <w:t>2019年9月16日</w:t>
      </w:r>
    </w:p>
    <w:p>
      <w:pPr>
        <w:spacing w:line="360" w:lineRule="auto"/>
        <w:ind w:firstLine="480" w:firstLineChars="200"/>
        <w:jc w:val="right"/>
        <w:rPr>
          <w:rFonts w:hint="eastAsia" w:asciiTheme="minorEastAsia" w:hAnsiTheme="minorEastAsia"/>
          <w:sz w:val="24"/>
          <w:szCs w:val="24"/>
          <w:lang w:eastAsia="zh-CN"/>
        </w:rPr>
      </w:pPr>
      <w:r>
        <w:rPr>
          <w:rFonts w:hint="eastAsia" w:asciiTheme="minorEastAsia" w:hAnsiTheme="minorEastAsia"/>
          <w:sz w:val="24"/>
          <w:szCs w:val="24"/>
          <w:lang w:val="en-US" w:eastAsia="zh-CN"/>
        </w:rPr>
        <w:t>2020</w:t>
      </w:r>
      <w:r>
        <w:rPr>
          <w:rFonts w:hint="eastAsia" w:asciiTheme="minorEastAsia" w:hAnsiTheme="minorEastAsia"/>
          <w:sz w:val="24"/>
          <w:szCs w:val="24"/>
        </w:rPr>
        <w:t>年</w:t>
      </w:r>
      <w:r>
        <w:rPr>
          <w:rFonts w:hint="eastAsia" w:asciiTheme="minorEastAsia" w:hAnsiTheme="minorEastAsia"/>
          <w:sz w:val="24"/>
          <w:szCs w:val="24"/>
          <w:lang w:val="en-US" w:eastAsia="zh-CN"/>
        </w:rPr>
        <w:t>8</w:t>
      </w:r>
      <w:r>
        <w:rPr>
          <w:rFonts w:hint="eastAsia" w:asciiTheme="minorEastAsia" w:hAnsiTheme="minorEastAsia"/>
          <w:sz w:val="24"/>
          <w:szCs w:val="24"/>
        </w:rPr>
        <w:t>月</w:t>
      </w:r>
      <w:r>
        <w:rPr>
          <w:rFonts w:hint="eastAsia" w:asciiTheme="minorEastAsia" w:hAnsiTheme="minorEastAsia"/>
          <w:sz w:val="24"/>
          <w:szCs w:val="24"/>
          <w:lang w:val="en-US" w:eastAsia="zh-CN"/>
        </w:rPr>
        <w:t>20</w:t>
      </w:r>
      <w:r>
        <w:rPr>
          <w:rFonts w:hint="eastAsia" w:asciiTheme="minorEastAsia" w:hAnsiTheme="minorEastAsia"/>
          <w:sz w:val="24"/>
          <w:szCs w:val="24"/>
        </w:rPr>
        <w:t>日</w:t>
      </w:r>
      <w:r>
        <w:rPr>
          <w:rFonts w:hint="eastAsia" w:asciiTheme="minorEastAsia" w:hAnsiTheme="minorEastAsia"/>
          <w:sz w:val="24"/>
          <w:szCs w:val="24"/>
          <w:lang w:eastAsia="zh-CN"/>
        </w:rPr>
        <w:t>第一次修订</w:t>
      </w:r>
    </w:p>
    <w:p>
      <w:pPr>
        <w:spacing w:line="360" w:lineRule="auto"/>
        <w:ind w:firstLine="480" w:firstLineChars="200"/>
        <w:jc w:val="right"/>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2021年9月6日第二次修订</w:t>
      </w:r>
    </w:p>
    <w:p>
      <w:pPr>
        <w:widowControl/>
        <w:jc w:val="center"/>
        <w:rPr>
          <w:rFonts w:asciiTheme="minorEastAsia" w:hAnsiTheme="minorEastAsia"/>
          <w:sz w:val="28"/>
          <w:szCs w:val="28"/>
        </w:rPr>
      </w:pPr>
      <w:r>
        <w:rPr>
          <w:rFonts w:asciiTheme="minorEastAsia" w:hAnsiTheme="minorEastAsia"/>
          <w:sz w:val="28"/>
          <w:szCs w:val="28"/>
        </w:rPr>
        <w:br w:type="column"/>
      </w:r>
      <w:r>
        <w:rPr>
          <w:rFonts w:hint="eastAsia" w:asciiTheme="minorEastAsia" w:hAnsiTheme="minorEastAsia"/>
          <w:sz w:val="28"/>
          <w:szCs w:val="28"/>
        </w:rPr>
        <w:t>学习成绩部分须提供课程成绩构成</w:t>
      </w:r>
    </w:p>
    <w:tbl>
      <w:tblPr>
        <w:tblStyle w:val="9"/>
        <w:tblW w:w="9781" w:type="dxa"/>
        <w:tblInd w:w="-459" w:type="dxa"/>
        <w:tblLayout w:type="fixed"/>
        <w:tblCellMar>
          <w:top w:w="0" w:type="dxa"/>
          <w:left w:w="108" w:type="dxa"/>
          <w:bottom w:w="0" w:type="dxa"/>
          <w:right w:w="108" w:type="dxa"/>
        </w:tblCellMar>
      </w:tblPr>
      <w:tblGrid>
        <w:gridCol w:w="993"/>
        <w:gridCol w:w="1701"/>
        <w:gridCol w:w="2976"/>
        <w:gridCol w:w="2694"/>
        <w:gridCol w:w="1417"/>
      </w:tblGrid>
      <w:tr>
        <w:tblPrEx>
          <w:tblCellMar>
            <w:top w:w="0" w:type="dxa"/>
            <w:left w:w="108" w:type="dxa"/>
            <w:bottom w:w="0" w:type="dxa"/>
            <w:right w:w="108" w:type="dxa"/>
          </w:tblCellMar>
        </w:tblPrEx>
        <w:trPr>
          <w:trHeight w:val="637" w:hRule="atLeast"/>
        </w:trPr>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方向</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专业基础课程（必选）</w:t>
            </w:r>
          </w:p>
        </w:tc>
        <w:tc>
          <w:tcPr>
            <w:tcW w:w="26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专业核心课程</w:t>
            </w:r>
          </w:p>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（专业必选）</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自选课程</w:t>
            </w: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艺术文化学</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艺术史论</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艺术史的理论与方法</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艺术教育</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艺术教育理论与方法</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文化创意</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文化创意与文化产业</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美术学</w:t>
            </w:r>
          </w:p>
        </w:tc>
        <w:tc>
          <w:tcPr>
            <w:tcW w:w="1701"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美术史论</w:t>
            </w:r>
          </w:p>
        </w:tc>
        <w:tc>
          <w:tcPr>
            <w:tcW w:w="2976"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中国美术史专题</w:t>
            </w:r>
          </w:p>
        </w:tc>
        <w:tc>
          <w:tcPr>
            <w:tcW w:w="1417"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1701"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976"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外国美术史专题</w:t>
            </w:r>
          </w:p>
        </w:tc>
        <w:tc>
          <w:tcPr>
            <w:tcW w:w="1417"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72"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设计技法与创作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公共艺术原理与实践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19"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环境艺术研究</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85"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书法篆刻技法与创作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499"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525"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城市雕塑创作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雕塑制作与加工</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人体结构与造型</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公共艺术设计基础</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自选0门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新媒体艺术设计</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装饰设计实践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公共艺术原理与实践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环境艺术研究</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古代书法临摹</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书体创作</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中国古代书画鉴赏</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创作技法研究</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临摹经典作品</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人物肖像写生</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白描与水墨习作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古画临摹研习</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bl>
    <w:p>
      <w:pPr>
        <w:spacing w:line="360" w:lineRule="auto"/>
        <w:ind w:firstLine="560" w:firstLineChars="200"/>
        <w:rPr>
          <w:rFonts w:asciiTheme="minorEastAsia" w:hAnsiTheme="minorEastAsia"/>
          <w:sz w:val="28"/>
          <w:szCs w:val="28"/>
        </w:rPr>
      </w:pPr>
    </w:p>
    <w:p>
      <w:pPr>
        <w:spacing w:line="360" w:lineRule="auto"/>
        <w:ind w:firstLine="560" w:firstLineChars="200"/>
        <w:rPr>
          <w:rFonts w:asciiTheme="minorEastAsia" w:hAnsiTheme="minorEastAsia"/>
          <w:sz w:val="28"/>
          <w:szCs w:val="28"/>
        </w:rPr>
      </w:pPr>
    </w:p>
    <w:p>
      <w:pPr>
        <w:spacing w:line="360" w:lineRule="auto"/>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3BF"/>
    <w:rsid w:val="000822B7"/>
    <w:rsid w:val="000F7376"/>
    <w:rsid w:val="00127486"/>
    <w:rsid w:val="00142B8D"/>
    <w:rsid w:val="00175511"/>
    <w:rsid w:val="001A67B1"/>
    <w:rsid w:val="0021603B"/>
    <w:rsid w:val="002246E1"/>
    <w:rsid w:val="0023310A"/>
    <w:rsid w:val="0025038B"/>
    <w:rsid w:val="002A7524"/>
    <w:rsid w:val="002B60B6"/>
    <w:rsid w:val="002B7D9B"/>
    <w:rsid w:val="00335D95"/>
    <w:rsid w:val="00385D16"/>
    <w:rsid w:val="003C5902"/>
    <w:rsid w:val="003F2328"/>
    <w:rsid w:val="004639E6"/>
    <w:rsid w:val="004F5EB3"/>
    <w:rsid w:val="005111EA"/>
    <w:rsid w:val="00540335"/>
    <w:rsid w:val="005773BF"/>
    <w:rsid w:val="005D514E"/>
    <w:rsid w:val="00605C41"/>
    <w:rsid w:val="00607F9E"/>
    <w:rsid w:val="00610639"/>
    <w:rsid w:val="00665A11"/>
    <w:rsid w:val="00774955"/>
    <w:rsid w:val="007B54AD"/>
    <w:rsid w:val="008C18C4"/>
    <w:rsid w:val="008D2FCD"/>
    <w:rsid w:val="00934A7A"/>
    <w:rsid w:val="00993C7E"/>
    <w:rsid w:val="009B4B5A"/>
    <w:rsid w:val="009C5ACE"/>
    <w:rsid w:val="00AA664A"/>
    <w:rsid w:val="00AC54F5"/>
    <w:rsid w:val="00C463A5"/>
    <w:rsid w:val="00C527EE"/>
    <w:rsid w:val="00C964E1"/>
    <w:rsid w:val="00D76C73"/>
    <w:rsid w:val="00D82A1F"/>
    <w:rsid w:val="00D85FD6"/>
    <w:rsid w:val="00E022CC"/>
    <w:rsid w:val="00E3199B"/>
    <w:rsid w:val="00E63C77"/>
    <w:rsid w:val="00EA6029"/>
    <w:rsid w:val="00F12CE7"/>
    <w:rsid w:val="00F1756C"/>
    <w:rsid w:val="00F253A4"/>
    <w:rsid w:val="00F8337D"/>
    <w:rsid w:val="00FD53A3"/>
    <w:rsid w:val="087E68BC"/>
    <w:rsid w:val="25AD0579"/>
    <w:rsid w:val="27E5181F"/>
    <w:rsid w:val="2EEB1432"/>
    <w:rsid w:val="31D4285D"/>
    <w:rsid w:val="36B24020"/>
    <w:rsid w:val="4C697E2D"/>
    <w:rsid w:val="6C0B7468"/>
    <w:rsid w:val="7038160C"/>
    <w:rsid w:val="73396296"/>
    <w:rsid w:val="74584BCC"/>
    <w:rsid w:val="747F5C30"/>
    <w:rsid w:val="7976407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Salutation"/>
    <w:basedOn w:val="1"/>
    <w:next w:val="1"/>
    <w:link w:val="14"/>
    <w:unhideWhenUsed/>
    <w:qFormat/>
    <w:uiPriority w:val="99"/>
  </w:style>
  <w:style w:type="paragraph" w:styleId="4">
    <w:name w:val="Closing"/>
    <w:basedOn w:val="1"/>
    <w:link w:val="15"/>
    <w:unhideWhenUsed/>
    <w:qFormat/>
    <w:uiPriority w:val="99"/>
    <w:pPr>
      <w:ind w:left="100" w:leftChars="2100"/>
    </w:pPr>
  </w:style>
  <w:style w:type="paragraph" w:styleId="5">
    <w:name w:val="Balloon Text"/>
    <w:basedOn w:val="1"/>
    <w:link w:val="16"/>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unhideWhenUsed/>
    <w:qFormat/>
    <w:uiPriority w:val="99"/>
    <w:rPr>
      <w:color w:val="333333"/>
      <w:u w:val="none"/>
    </w:rPr>
  </w:style>
  <w:style w:type="character" w:customStyle="1" w:styleId="14">
    <w:name w:val="称呼 Char"/>
    <w:basedOn w:val="11"/>
    <w:link w:val="3"/>
    <w:qFormat/>
    <w:uiPriority w:val="99"/>
  </w:style>
  <w:style w:type="character" w:customStyle="1" w:styleId="15">
    <w:name w:val="结束语 Char"/>
    <w:basedOn w:val="11"/>
    <w:link w:val="4"/>
    <w:qFormat/>
    <w:uiPriority w:val="99"/>
  </w:style>
  <w:style w:type="character" w:customStyle="1" w:styleId="16">
    <w:name w:val="批注框文本 Char"/>
    <w:basedOn w:val="11"/>
    <w:link w:val="5"/>
    <w:semiHidden/>
    <w:qFormat/>
    <w:uiPriority w:val="99"/>
    <w:rPr>
      <w:sz w:val="18"/>
      <w:szCs w:val="18"/>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character" w:customStyle="1" w:styleId="19">
    <w:name w:val="标题 1 Char"/>
    <w:basedOn w:val="11"/>
    <w:link w:val="2"/>
    <w:qFormat/>
    <w:uiPriority w:val="9"/>
    <w:rPr>
      <w:rFonts w:ascii="宋体" w:hAnsi="宋体" w:eastAsia="宋体" w:cs="宋体"/>
      <w:b/>
      <w:bCs/>
      <w:kern w:val="36"/>
      <w:sz w:val="48"/>
      <w:szCs w:val="48"/>
    </w:rPr>
  </w:style>
  <w:style w:type="paragraph" w:customStyle="1" w:styleId="20">
    <w:name w:val="arti_metas"/>
    <w:basedOn w:val="1"/>
    <w:qFormat/>
    <w:uiPriority w:val="0"/>
    <w:pPr>
      <w:widowControl/>
      <w:spacing w:before="100" w:beforeAutospacing="1" w:after="100" w:afterAutospacing="1"/>
      <w:jc w:val="center"/>
    </w:pPr>
    <w:rPr>
      <w:rFonts w:ascii="Tahoma" w:hAnsi="Tahoma" w:eastAsia="宋体" w:cs="Tahoma"/>
      <w:color w:val="333333"/>
      <w:kern w:val="0"/>
      <w:sz w:val="18"/>
      <w:szCs w:val="18"/>
    </w:rPr>
  </w:style>
  <w:style w:type="character" w:customStyle="1" w:styleId="21">
    <w:name w:val="arti_update1"/>
    <w:basedOn w:val="11"/>
    <w:qFormat/>
    <w:uiPriority w:val="0"/>
    <w:rPr>
      <w:rFonts w:hint="default" w:ascii="微软雅黑" w:hAnsi="微软雅黑"/>
      <w:sz w:val="18"/>
      <w:szCs w:val="18"/>
    </w:rPr>
  </w:style>
  <w:style w:type="character" w:customStyle="1" w:styleId="22">
    <w:name w:val="HTML 预设格式 Char"/>
    <w:basedOn w:val="11"/>
    <w:link w:val="8"/>
    <w:semiHidden/>
    <w:qFormat/>
    <w:uiPriority w:val="99"/>
    <w:rPr>
      <w:rFonts w:ascii="宋体" w:hAnsi="宋体" w:eastAsia="宋体" w:cs="宋体"/>
      <w:kern w:val="0"/>
      <w:sz w:val="24"/>
      <w:szCs w:val="24"/>
    </w:rPr>
  </w:style>
  <w:style w:type="character" w:customStyle="1" w:styleId="23">
    <w:name w:val="Placeholder Text"/>
    <w:basedOn w:val="11"/>
    <w:semiHidden/>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4753</Words>
  <Characters>4954</Characters>
  <Lines>24</Lines>
  <Paragraphs>6</Paragraphs>
  <TotalTime>26</TotalTime>
  <ScaleCrop>false</ScaleCrop>
  <LinksUpToDate>false</LinksUpToDate>
  <CharactersWithSpaces>4974</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2018-10-10T11:17:00Z</dcterms:created>
  <dc:creator>zsr</dc:creator>
  <cp:lastModifiedBy>周素戎</cp:lastModifiedBy>
  <cp:lastPrinted>2019-09-12T19:05:00Z</cp:lastPrinted>
  <dcterms:modified xsi:type="dcterms:W3CDTF">2021-09-10T06:31:57Z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6903BF51C38B4E99B2B3BF27DE8B86C9</vt:lpwstr>
  </property>
</Properties>
</file>